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jc w:val="left"/>
        <w:textAlignment w:val="baseline"/>
        <w:outlineLvl w:val="0"/>
        <w:rPr>
          <w:rFonts w:hint="default" w:ascii="Arial" w:hAnsi="Arial" w:eastAsia="宋体"/>
          <w:b/>
          <w:bCs/>
          <w:kern w:val="0"/>
          <w:sz w:val="24"/>
          <w:szCs w:val="20"/>
          <w:highlight w:val="none"/>
          <w:lang w:val="en-US" w:eastAsia="zh-CN"/>
        </w:rPr>
      </w:pPr>
      <w:bookmarkStart w:id="0" w:name="OLE_LINK2"/>
      <w:bookmarkStart w:id="1" w:name="OLE_LINK17"/>
      <w:bookmarkStart w:id="2" w:name="_Hlk19781073"/>
      <w:r>
        <w:rPr>
          <w:rFonts w:ascii="Arial" w:hAnsi="Arial" w:eastAsia="Yu Gothic Medium"/>
          <w:b/>
          <w:bCs/>
          <w:kern w:val="0"/>
          <w:sz w:val="24"/>
          <w:szCs w:val="20"/>
          <w:highlight w:val="none"/>
          <w:lang w:val="en-US"/>
        </w:rPr>
        <w:t>3GPP TSG-RAN WG3 Meeting #12</w:t>
      </w:r>
      <w:r>
        <w:rPr>
          <w:rFonts w:hint="eastAsia" w:ascii="Arial" w:hAnsi="Arial" w:eastAsia="宋体"/>
          <w:b/>
          <w:bCs/>
          <w:kern w:val="0"/>
          <w:sz w:val="24"/>
          <w:szCs w:val="20"/>
          <w:highlight w:val="none"/>
          <w:lang w:val="en-US" w:eastAsia="zh-CN"/>
        </w:rPr>
        <w:t>7</w:t>
      </w:r>
      <w:r>
        <w:rPr>
          <w:rFonts w:ascii="Arial" w:hAnsi="Arial" w:eastAsia="Yu Gothic Medium"/>
          <w:b/>
          <w:bCs/>
          <w:kern w:val="0"/>
          <w:sz w:val="24"/>
          <w:szCs w:val="20"/>
          <w:highlight w:val="none"/>
          <w:lang w:val="en-US"/>
        </w:rPr>
        <w:tab/>
      </w:r>
      <w:r>
        <w:rPr>
          <w:rFonts w:ascii="Arial" w:hAnsi="Arial" w:eastAsia="Yu Gothic Medium"/>
          <w:b/>
          <w:bCs/>
          <w:kern w:val="0"/>
          <w:sz w:val="24"/>
          <w:szCs w:val="20"/>
          <w:highlight w:val="none"/>
          <w:lang w:val="en-US"/>
        </w:rPr>
        <w:t>R3-</w:t>
      </w:r>
      <w:r>
        <w:rPr>
          <w:rFonts w:hint="eastAsia" w:ascii="Arial" w:hAnsi="Arial" w:eastAsia="Yu Gothic Medium"/>
          <w:b/>
          <w:bCs/>
          <w:kern w:val="0"/>
          <w:sz w:val="24"/>
          <w:szCs w:val="20"/>
          <w:highlight w:val="none"/>
          <w:lang w:val="en-US"/>
        </w:rPr>
        <w:t>250716</w:t>
      </w:r>
    </w:p>
    <w:p>
      <w:pPr>
        <w:tabs>
          <w:tab w:val="right" w:pos="9639"/>
        </w:tabs>
        <w:overflowPunct w:val="0"/>
        <w:autoSpaceDE w:val="0"/>
        <w:autoSpaceDN w:val="0"/>
        <w:adjustRightInd w:val="0"/>
        <w:jc w:val="left"/>
        <w:textAlignment w:val="baseline"/>
        <w:outlineLvl w:val="0"/>
        <w:rPr>
          <w:rFonts w:hint="eastAsia" w:ascii="Arial" w:hAnsi="Arial" w:eastAsia="宋体"/>
          <w:b/>
          <w:bCs/>
          <w:kern w:val="0"/>
          <w:sz w:val="24"/>
          <w:szCs w:val="20"/>
          <w:highlight w:val="none"/>
          <w:lang w:val="en-US" w:eastAsia="zh-CN"/>
        </w:rPr>
      </w:pPr>
      <w:r>
        <w:rPr>
          <w:rFonts w:hint="eastAsia" w:ascii="Arial" w:hAnsi="Arial" w:eastAsia="宋体"/>
          <w:b/>
          <w:bCs/>
          <w:kern w:val="0"/>
          <w:sz w:val="24"/>
          <w:szCs w:val="20"/>
          <w:highlight w:val="none"/>
          <w:lang w:val="en-US" w:eastAsia="zh-CN"/>
        </w:rPr>
        <w:t>Athens</w:t>
      </w:r>
      <w:r>
        <w:rPr>
          <w:rFonts w:ascii="Arial" w:hAnsi="Arial" w:eastAsia="Yu Gothic Medium"/>
          <w:b/>
          <w:bCs/>
          <w:kern w:val="0"/>
          <w:sz w:val="24"/>
          <w:szCs w:val="20"/>
          <w:highlight w:val="none"/>
          <w:lang w:val="en-US"/>
        </w:rPr>
        <w:t xml:space="preserve">, </w:t>
      </w:r>
      <w:r>
        <w:rPr>
          <w:rFonts w:hint="eastAsia" w:ascii="Arial" w:hAnsi="Arial" w:eastAsia="宋体"/>
          <w:b/>
          <w:bCs/>
          <w:kern w:val="0"/>
          <w:sz w:val="24"/>
          <w:szCs w:val="20"/>
          <w:highlight w:val="none"/>
          <w:lang w:val="en-US" w:eastAsia="zh-CN"/>
        </w:rPr>
        <w:t>GR</w:t>
      </w:r>
      <w:r>
        <w:rPr>
          <w:rFonts w:ascii="Arial" w:hAnsi="Arial" w:eastAsia="Yu Gothic Medium"/>
          <w:b/>
          <w:bCs/>
          <w:kern w:val="0"/>
          <w:sz w:val="24"/>
          <w:szCs w:val="20"/>
          <w:highlight w:val="none"/>
          <w:lang w:val="en-US"/>
        </w:rPr>
        <w:t xml:space="preserve">, </w:t>
      </w:r>
      <w:r>
        <w:rPr>
          <w:rFonts w:hint="eastAsia" w:ascii="Arial" w:hAnsi="Arial" w:eastAsia="宋体"/>
          <w:b/>
          <w:bCs/>
          <w:kern w:val="0"/>
          <w:sz w:val="24"/>
          <w:szCs w:val="20"/>
          <w:highlight w:val="none"/>
          <w:lang w:val="en-US" w:eastAsia="zh-CN"/>
        </w:rPr>
        <w:t xml:space="preserve">February </w:t>
      </w:r>
      <w:r>
        <w:rPr>
          <w:rFonts w:ascii="Arial" w:hAnsi="Arial" w:eastAsia="Yu Gothic Medium"/>
          <w:b/>
          <w:bCs/>
          <w:kern w:val="0"/>
          <w:sz w:val="24"/>
          <w:szCs w:val="20"/>
          <w:highlight w:val="none"/>
          <w:lang w:val="en-US"/>
        </w:rPr>
        <w:t>1</w:t>
      </w:r>
      <w:r>
        <w:rPr>
          <w:rFonts w:hint="eastAsia" w:ascii="Arial" w:hAnsi="Arial" w:eastAsia="宋体"/>
          <w:b/>
          <w:bCs/>
          <w:kern w:val="0"/>
          <w:sz w:val="24"/>
          <w:szCs w:val="20"/>
          <w:highlight w:val="none"/>
          <w:lang w:val="en-US" w:eastAsia="zh-CN"/>
        </w:rPr>
        <w:t>7</w:t>
      </w:r>
      <w:r>
        <w:rPr>
          <w:rFonts w:ascii="Arial" w:hAnsi="Arial" w:eastAsia="Yu Gothic Medium"/>
          <w:b/>
          <w:bCs/>
          <w:kern w:val="0"/>
          <w:sz w:val="24"/>
          <w:szCs w:val="20"/>
          <w:highlight w:val="none"/>
          <w:lang w:val="en-US"/>
        </w:rPr>
        <w:t>th – 2</w:t>
      </w:r>
      <w:r>
        <w:rPr>
          <w:rFonts w:hint="eastAsia" w:ascii="Arial" w:hAnsi="Arial" w:eastAsia="宋体"/>
          <w:b/>
          <w:bCs/>
          <w:kern w:val="0"/>
          <w:sz w:val="24"/>
          <w:szCs w:val="20"/>
          <w:highlight w:val="none"/>
          <w:lang w:val="en-US" w:eastAsia="zh-CN"/>
        </w:rPr>
        <w:t>1st</w:t>
      </w:r>
      <w:r>
        <w:rPr>
          <w:rFonts w:ascii="Arial" w:hAnsi="Arial" w:eastAsia="Yu Gothic Medium"/>
          <w:b/>
          <w:bCs/>
          <w:kern w:val="0"/>
          <w:sz w:val="24"/>
          <w:szCs w:val="20"/>
          <w:highlight w:val="none"/>
          <w:lang w:val="en-US"/>
        </w:rPr>
        <w:t>, 202</w:t>
      </w:r>
      <w:r>
        <w:rPr>
          <w:rFonts w:hint="eastAsia" w:ascii="Arial" w:hAnsi="Arial" w:eastAsia="宋体"/>
          <w:b/>
          <w:bCs/>
          <w:kern w:val="0"/>
          <w:sz w:val="24"/>
          <w:szCs w:val="20"/>
          <w:highlight w:val="none"/>
          <w:lang w:val="en-US" w:eastAsia="zh-CN"/>
        </w:rPr>
        <w:t>5</w:t>
      </w:r>
    </w:p>
    <w:bookmarkEnd w:id="0"/>
    <w:bookmarkEnd w:id="1"/>
    <w:bookmarkEnd w:id="2"/>
    <w:p>
      <w:pPr>
        <w:pStyle w:val="36"/>
        <w:rPr>
          <w:rFonts w:cs="Arial"/>
          <w:bCs/>
          <w:sz w:val="24"/>
          <w:highlight w:val="none"/>
          <w:lang w:eastAsia="ja-JP"/>
        </w:rPr>
      </w:pPr>
    </w:p>
    <w:p>
      <w:pPr>
        <w:pStyle w:val="90"/>
        <w:outlineLvl w:val="0"/>
        <w:rPr>
          <w:rFonts w:hint="default" w:eastAsia="宋体"/>
          <w:lang w:val="en-US" w:eastAsia="zh-CN"/>
        </w:rPr>
      </w:pPr>
      <w:r>
        <w:t>Agenda Item:</w:t>
      </w:r>
      <w:r>
        <w:tab/>
      </w:r>
      <w:r>
        <w:rPr>
          <w:rFonts w:hint="eastAsia" w:eastAsia="宋体"/>
          <w:lang w:val="en-US" w:eastAsia="zh-CN"/>
        </w:rPr>
        <w:t>8.</w:t>
      </w:r>
      <w:r>
        <w:rPr>
          <w:rFonts w:hint="default" w:eastAsia="宋体"/>
          <w:lang w:val="en-US" w:eastAsia="zh-CN"/>
        </w:rPr>
        <w:t>1</w:t>
      </w:r>
    </w:p>
    <w:p>
      <w:pPr>
        <w:pStyle w:val="90"/>
        <w:outlineLvl w:val="0"/>
        <w:rPr>
          <w:rFonts w:hint="default" w:eastAsia="宋体"/>
          <w:lang w:val="en-US" w:eastAsia="zh-CN"/>
        </w:rPr>
      </w:pPr>
      <w:r>
        <w:t>Source:</w:t>
      </w:r>
      <w:r>
        <w:tab/>
      </w:r>
      <w:r>
        <w:rPr>
          <w:rFonts w:hint="eastAsia" w:eastAsia="宋体"/>
          <w:lang w:val="en-US" w:eastAsia="zh-CN"/>
        </w:rPr>
        <w:t>ZTE Corporation</w:t>
      </w:r>
    </w:p>
    <w:p>
      <w:pPr>
        <w:pStyle w:val="90"/>
        <w:ind w:left="1985" w:hanging="1985"/>
        <w:outlineLvl w:val="0"/>
        <w:rPr>
          <w:rFonts w:hint="default"/>
          <w:lang w:val="en-US" w:eastAsia="ja-JP"/>
        </w:rPr>
      </w:pPr>
      <w:r>
        <w:t>Title:</w:t>
      </w:r>
      <w:r>
        <w:tab/>
      </w:r>
      <w:r>
        <w:rPr>
          <w:rFonts w:hint="default" w:eastAsia="宋体"/>
          <w:lang w:val="en-US" w:eastAsia="zh-CN"/>
        </w:rPr>
        <w:t xml:space="preserve">Further discussion on the </w:t>
      </w:r>
      <w:r>
        <w:rPr>
          <w:rFonts w:hint="eastAsia" w:eastAsia="宋体"/>
          <w:lang w:val="en-US" w:eastAsia="zh-CN"/>
        </w:rPr>
        <w:t>available data rate</w:t>
      </w:r>
    </w:p>
    <w:p>
      <w:pPr>
        <w:pStyle w:val="90"/>
        <w:outlineLvl w:val="0"/>
        <w:rPr>
          <w:lang w:eastAsia="ja-JP"/>
        </w:rPr>
      </w:pPr>
      <w:r>
        <w:t>Document for:</w:t>
      </w:r>
      <w:r>
        <w:tab/>
      </w:r>
      <w:r>
        <w:t xml:space="preserve">Discussions &amp; </w:t>
      </w:r>
      <w:r>
        <w:rPr>
          <w:rFonts w:hint="eastAsia"/>
        </w:rPr>
        <w:t>Decision</w:t>
      </w:r>
    </w:p>
    <w:p>
      <w:pPr>
        <w:pStyle w:val="3"/>
        <w:numPr>
          <w:ilvl w:val="0"/>
          <w:numId w:val="2"/>
        </w:numPr>
        <w:rPr>
          <w:rFonts w:cs="Arial"/>
        </w:rPr>
      </w:pPr>
      <w:bookmarkStart w:id="3" w:name="OLE_LINK1"/>
      <w:r>
        <w:rPr>
          <w:rFonts w:cs="Arial"/>
        </w:rPr>
        <w:t>Introduction</w:t>
      </w:r>
    </w:p>
    <w:bookmarkEnd w:id="3"/>
    <w:p>
      <w:pPr>
        <w:pStyle w:val="2"/>
        <w:rPr>
          <w:rFonts w:hint="default" w:ascii="Arial" w:hAnsi="Arial" w:eastAsia="Times New Roman" w:cs="Arial"/>
          <w:sz w:val="20"/>
          <w:szCs w:val="20"/>
          <w:lang w:val="en-US" w:eastAsia="zh-CN" w:bidi="ar-SA"/>
        </w:rPr>
      </w:pPr>
      <w:r>
        <w:rPr>
          <w:rFonts w:hint="default" w:ascii="Arial" w:hAnsi="Arial" w:cs="Arial"/>
          <w:sz w:val="20"/>
          <w:szCs w:val="20"/>
          <w:lang w:val="en-US" w:eastAsia="zh-CN" w:bidi="ar-SA"/>
        </w:rPr>
        <w:t xml:space="preserve">SA2 sent LS S2-2407351[1] to RAN3 and asked RAN3 on whether RAN3 is flexible to support the available data rate for GBR QoS Flow via UP. Based on the RAN3 feedback R3-244844[2] sent in RAN3#125, SA2 further clarify the definition for the available data rate in their LS S2-2412720[3]. This paper is used to further explain our view based on the received SA2 LS. </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r>
        <w:rPr>
          <w:rFonts w:hint="default" w:ascii="Arial" w:hAnsi="Arial" w:eastAsia="宋体" w:cs="Arial"/>
          <w:sz w:val="36"/>
          <w:lang w:val="en-US" w:eastAsia="zh-CN" w:bidi="ar-SA"/>
        </w:rPr>
        <w:t xml:space="preserve"> </w:t>
      </w:r>
      <w:r>
        <w:rPr>
          <w:rFonts w:hint="eastAsia" w:ascii="Arial" w:hAnsi="Arial" w:eastAsia="宋体" w:cs="Arial"/>
          <w:sz w:val="36"/>
          <w:lang w:val="en-US" w:eastAsia="zh-CN" w:bidi="ar-SA"/>
        </w:rPr>
        <w:t>Discussion</w:t>
      </w:r>
    </w:p>
    <w:p>
      <w:pPr>
        <w:pStyle w:val="2"/>
        <w:rPr>
          <w:rFonts w:hint="default" w:ascii="Arial" w:hAnsi="Arial" w:cs="Arial"/>
          <w:b w:val="0"/>
          <w:bCs w:val="0"/>
          <w:lang w:val="en-US" w:eastAsia="zh-CN"/>
        </w:rPr>
      </w:pPr>
      <w:r>
        <w:rPr>
          <w:rFonts w:hint="default" w:ascii="Arial" w:hAnsi="Arial" w:cs="Arial"/>
          <w:b w:val="0"/>
          <w:bCs w:val="0"/>
          <w:lang w:val="en-US" w:eastAsia="zh-CN"/>
        </w:rPr>
        <w:t>In the received reply LS[3], SA2 firstly confirmed our understanding on the in-band signalling of the periodicity and agreed to exclude the in-band signalling of the periodicity in Rel-19. RAN3 may note SA2 decision and do nothing.</w:t>
      </w:r>
    </w:p>
    <w:p>
      <w:pPr>
        <w:pStyle w:val="2"/>
        <w:rPr>
          <w:rFonts w:hint="default" w:ascii="Arial" w:hAnsi="Arial" w:cs="Arial"/>
          <w:b/>
          <w:bCs/>
          <w:lang w:val="en-US" w:eastAsia="zh-CN"/>
        </w:rPr>
      </w:pPr>
      <w:r>
        <w:rPr>
          <w:rFonts w:hint="default" w:ascii="Arial" w:hAnsi="Arial" w:cs="Arial"/>
          <w:b/>
          <w:bCs/>
          <w:lang w:val="en-US" w:eastAsia="zh-CN"/>
        </w:rPr>
        <w:t>Observation 1: SA2 decision on in-band signalling of the periodicity can be noted by RAN3.</w:t>
      </w:r>
    </w:p>
    <w:p>
      <w:pPr>
        <w:pStyle w:val="2"/>
        <w:rPr>
          <w:rFonts w:hint="eastAsia" w:ascii="Arial" w:hAnsi="Arial" w:cs="Arial"/>
          <w:b w:val="0"/>
          <w:bCs w:val="0"/>
          <w:lang w:val="en-US" w:eastAsia="zh-CN"/>
        </w:rPr>
      </w:pPr>
      <w:r>
        <w:rPr>
          <w:rFonts w:hint="default" w:ascii="Arial" w:hAnsi="Arial" w:cs="Arial"/>
          <w:b w:val="0"/>
          <w:bCs w:val="0"/>
          <w:lang w:val="en-US" w:eastAsia="zh-CN"/>
        </w:rPr>
        <w:t xml:space="preserve">For another question in SA2 reply LS on the available data rate, SA2 explained </w:t>
      </w:r>
      <w:r>
        <w:rPr>
          <w:rFonts w:hint="eastAsia" w:ascii="Arial" w:hAnsi="Arial" w:cs="Arial"/>
          <w:b w:val="0"/>
          <w:bCs w:val="0"/>
          <w:lang w:val="en-US" w:eastAsia="zh-CN"/>
        </w:rPr>
        <w:t>its understanding in detail. More specifically, the following content can be found in the reply LS:</w:t>
      </w:r>
    </w:p>
    <w:p>
      <w:pPr>
        <w:pStyle w:val="2"/>
        <w:jc w:val="center"/>
        <w:rPr>
          <w:rFonts w:hint="default" w:ascii="Arial" w:hAnsi="Arial" w:cs="Arial"/>
          <w:b w:val="0"/>
          <w:bCs w:val="0"/>
          <w:color w:val="0000FF"/>
          <w:lang w:val="en-US" w:eastAsia="zh-CN"/>
        </w:rPr>
      </w:pPr>
      <w:r>
        <w:rPr>
          <w:rFonts w:hint="eastAsia" w:ascii="Arial" w:hAnsi="Arial" w:cs="Arial"/>
          <w:b w:val="0"/>
          <w:bCs w:val="0"/>
          <w:color w:val="0000FF"/>
          <w:lang w:val="en-US" w:eastAsia="zh-CN"/>
        </w:rPr>
        <w:t>==== content in SA2 reply LS ====</w:t>
      </w:r>
    </w:p>
    <w:p>
      <w:pPr>
        <w:rPr>
          <w:rFonts w:ascii="Arial" w:hAnsi="Arial" w:cs="Arial"/>
          <w:color w:val="000000"/>
          <w:highlight w:val="yellow"/>
        </w:rPr>
      </w:pPr>
      <w:r>
        <w:rPr>
          <w:rFonts w:ascii="Arial" w:hAnsi="Arial" w:cs="Arial"/>
          <w:color w:val="000000"/>
          <w:highlight w:val="yellow"/>
        </w:rPr>
        <w:t xml:space="preserve">Regarding the definition of “available data rate”, it refers to the data rate that NG-RAN is currently able to provide for a QoS Flow with GFBR. The “available data rate” </w:t>
      </w:r>
      <w:r>
        <w:rPr>
          <w:rFonts w:hint="eastAsia" w:ascii="Arial" w:hAnsi="Arial" w:cs="Arial"/>
          <w:color w:val="000000"/>
          <w:highlight w:val="yellow"/>
        </w:rPr>
        <w:t>c</w:t>
      </w:r>
      <w:r>
        <w:rPr>
          <w:rFonts w:ascii="Arial" w:hAnsi="Arial" w:cs="Arial"/>
          <w:color w:val="000000"/>
          <w:highlight w:val="yellow"/>
        </w:rPr>
        <w:t xml:space="preserve">an be between the GFBR and the MFBR for a QoS Flow with MFBR&gt;GFBR. The “available data rate” </w:t>
      </w:r>
      <w:r>
        <w:rPr>
          <w:rFonts w:hint="eastAsia" w:ascii="Arial" w:hAnsi="Arial" w:cs="Arial"/>
          <w:color w:val="000000"/>
          <w:highlight w:val="yellow"/>
        </w:rPr>
        <w:t>c</w:t>
      </w:r>
      <w:r>
        <w:rPr>
          <w:rFonts w:ascii="Arial" w:hAnsi="Arial" w:cs="Arial"/>
          <w:color w:val="000000"/>
          <w:highlight w:val="yellow"/>
        </w:rPr>
        <w:t xml:space="preserve">an also be below the GFBR for a QoS Flow with QoS Notification Control enabled without AQP. The “available data rate” should however not be above the MFBR (as the NG-RAN is not required to provide more resources that what is required for the MFBR). </w:t>
      </w:r>
    </w:p>
    <w:p>
      <w:pPr>
        <w:rPr>
          <w:rFonts w:hint="eastAsia" w:ascii="Arial" w:hAnsi="Arial" w:cs="Arial"/>
          <w:b w:val="0"/>
          <w:bCs w:val="0"/>
          <w:lang w:val="en-US" w:eastAsia="zh-CN"/>
        </w:rPr>
      </w:pPr>
      <w:r>
        <w:rPr>
          <w:rFonts w:ascii="Arial" w:hAnsi="Arial" w:cs="Arial"/>
          <w:color w:val="000000"/>
        </w:rPr>
        <w:t>Periodic reporting should not be useful for the application layer (as the “available data rate” should often be identical to the GFBR). Threshold based reporting is considered as useful with one or more threshold values provided by the application. When the data rate that NG-RAN is currently able to provide for a QoS Flow crosses one of the thresholds, the NG-RAN is expected to provide the reference to the respective threshold in the UL user plane packets and the application can then adjust its data rate accordingly. The usage of the first packets after a change in the “available data rate” should be sufficient to transfer the information to the UPF. Similar to the logic described in 23.501 clause 5.7.2.4.1a, the NG-RAN is expected to immediately report a change to a lower threshold value for the “available data rate” and a change to a higher threshold value with some hysteresis.</w:t>
      </w:r>
    </w:p>
    <w:p>
      <w:pPr>
        <w:pStyle w:val="2"/>
        <w:jc w:val="center"/>
        <w:rPr>
          <w:rFonts w:hint="default" w:ascii="Arial" w:hAnsi="Arial" w:cs="Arial"/>
          <w:b w:val="0"/>
          <w:bCs w:val="0"/>
          <w:color w:val="0000FF"/>
          <w:lang w:val="en-US" w:eastAsia="zh-CN"/>
        </w:rPr>
      </w:pPr>
      <w:r>
        <w:rPr>
          <w:rFonts w:hint="eastAsia" w:ascii="Arial" w:hAnsi="Arial" w:cs="Arial"/>
          <w:b w:val="0"/>
          <w:bCs w:val="0"/>
          <w:color w:val="0000FF"/>
          <w:lang w:val="en-US" w:eastAsia="zh-CN"/>
        </w:rPr>
        <w:t>==== content in SA2 reply LS ====</w:t>
      </w:r>
    </w:p>
    <w:p>
      <w:pPr>
        <w:pStyle w:val="2"/>
        <w:rPr>
          <w:rFonts w:hint="default" w:ascii="Arial" w:hAnsi="Arial" w:cs="Arial"/>
          <w:b w:val="0"/>
          <w:bCs w:val="0"/>
          <w:lang w:val="en-US" w:eastAsia="zh-CN"/>
        </w:rPr>
      </w:pPr>
      <w:r>
        <w:rPr>
          <w:rFonts w:hint="eastAsia" w:ascii="Arial" w:hAnsi="Arial" w:cs="Arial"/>
          <w:b w:val="0"/>
          <w:bCs w:val="0"/>
          <w:lang w:val="en-US" w:eastAsia="zh-CN"/>
        </w:rPr>
        <w:t>In the reply LS, SA2 not only clarified the definition of available data rate, but also further explain  how does this information be used by NW. It further pointed out that the usage logic of available data rate information is similar to the existing description in the TS 23.501. Hence, from our point of view, RAN3 may support transmitting the available data rate via UP, as required by SA2. A CR has also be provided for our side  to further show our view on how to make such enhancement. Detail can be further discussed by RAN3 when TU is allowed in XR topic.</w:t>
      </w:r>
    </w:p>
    <w:p>
      <w:pPr>
        <w:pStyle w:val="2"/>
        <w:rPr>
          <w:rFonts w:hint="default" w:ascii="Arial" w:hAnsi="Arial" w:cs="Arial"/>
          <w:b w:val="0"/>
          <w:bCs w:val="0"/>
          <w:lang w:val="en-US" w:eastAsia="zh-CN"/>
        </w:rPr>
      </w:pPr>
      <w:r>
        <w:rPr>
          <w:rFonts w:hint="default" w:ascii="Arial" w:hAnsi="Arial" w:cs="Arial"/>
          <w:b/>
          <w:bCs/>
          <w:lang w:val="en-US" w:eastAsia="zh-CN"/>
        </w:rPr>
        <w:t>Proposal 1: RAN3 confirms SA2 clarification for the available data rate.</w:t>
      </w:r>
    </w:p>
    <w:p>
      <w:pPr>
        <w:pStyle w:val="2"/>
        <w:rPr>
          <w:rFonts w:hint="default" w:ascii="Arial" w:hAnsi="Arial" w:eastAsia="Times New Roman" w:cs="Arial"/>
          <w:b/>
          <w:bCs/>
          <w:lang w:val="en-US" w:eastAsia="zh-CN"/>
        </w:rPr>
      </w:pPr>
      <w:r>
        <w:rPr>
          <w:rFonts w:hint="default" w:ascii="Arial" w:hAnsi="Arial" w:cs="Arial"/>
          <w:b/>
          <w:bCs/>
          <w:lang w:val="en-US" w:eastAsia="zh-CN"/>
        </w:rPr>
        <w:t xml:space="preserve">Proposal 2:  Introduce available data rate information in UP header. Detail enhancement will be discussed when TU </w:t>
      </w:r>
      <w:r>
        <w:rPr>
          <w:rFonts w:hint="eastAsia" w:ascii="Arial" w:hAnsi="Arial" w:cs="Arial"/>
          <w:b/>
          <w:bCs/>
          <w:lang w:val="en-US" w:eastAsia="zh-CN"/>
        </w:rPr>
        <w:t xml:space="preserve">is </w:t>
      </w:r>
      <w:r>
        <w:rPr>
          <w:rFonts w:hint="default" w:ascii="Arial" w:hAnsi="Arial" w:cs="Arial"/>
          <w:b/>
          <w:bCs/>
          <w:lang w:val="en-US" w:eastAsia="zh-CN"/>
        </w:rPr>
        <w:t>available.</w:t>
      </w:r>
    </w:p>
    <w:p>
      <w:pPr>
        <w:pStyle w:val="2"/>
        <w:rPr>
          <w:rFonts w:hint="default" w:ascii="Arial" w:hAnsi="Arial" w:eastAsia="Times New Roman" w:cs="Arial"/>
          <w:b w:val="0"/>
          <w:bCs w:val="0"/>
          <w:highlight w:val="none"/>
          <w:lang w:val="en-US" w:eastAsia="zh-CN"/>
        </w:rPr>
      </w:pPr>
      <w:r>
        <w:rPr>
          <w:rFonts w:hint="eastAsia" w:ascii="Arial" w:hAnsi="Arial" w:cs="Arial"/>
          <w:b w:val="0"/>
          <w:bCs w:val="0"/>
          <w:lang w:val="en-US" w:eastAsia="zh-CN"/>
        </w:rPr>
        <w:t xml:space="preserve">In addition, RAN3 may also need to reply SA2 our decision and next steps(e.g. how to enhance will be </w:t>
      </w:r>
      <w:r>
        <w:rPr>
          <w:rFonts w:hint="eastAsia" w:ascii="Arial" w:hAnsi="Arial" w:cs="Arial"/>
          <w:b w:val="0"/>
          <w:bCs w:val="0"/>
          <w:highlight w:val="none"/>
          <w:lang w:val="en-US" w:eastAsia="zh-CN"/>
        </w:rPr>
        <w:t>further checked.). A draft reply LS</w:t>
      </w:r>
      <w:r>
        <w:rPr>
          <w:rFonts w:hint="default" w:ascii="Arial" w:hAnsi="Arial" w:cs="Arial"/>
          <w:b/>
          <w:bCs/>
          <w:highlight w:val="none"/>
          <w:lang w:val="en-US" w:eastAsia="zh-CN"/>
        </w:rPr>
        <w:t>(R3-250715)</w:t>
      </w:r>
      <w:r>
        <w:rPr>
          <w:rFonts w:hint="eastAsia" w:ascii="Arial" w:hAnsi="Arial" w:cs="Arial"/>
          <w:b w:val="0"/>
          <w:bCs w:val="0"/>
          <w:highlight w:val="none"/>
          <w:lang w:val="en-US" w:eastAsia="zh-CN"/>
        </w:rPr>
        <w:t xml:space="preserve"> </w:t>
      </w:r>
      <w:r>
        <w:rPr>
          <w:rFonts w:hint="default" w:ascii="Arial" w:hAnsi="Arial" w:cs="Arial"/>
          <w:b w:val="0"/>
          <w:bCs w:val="0"/>
          <w:highlight w:val="none"/>
          <w:lang w:val="en-US" w:eastAsia="zh-CN"/>
        </w:rPr>
        <w:t>is prepared from our side and can be considered as baseline.</w:t>
      </w:r>
    </w:p>
    <w:p>
      <w:pPr>
        <w:pStyle w:val="2"/>
        <w:rPr>
          <w:rFonts w:hint="default" w:ascii="Arial" w:hAnsi="Arial" w:eastAsia="Times New Roman" w:cs="Arial"/>
          <w:b/>
          <w:bCs/>
          <w:highlight w:val="none"/>
          <w:lang w:val="en-US" w:eastAsia="zh-CN"/>
        </w:rPr>
      </w:pPr>
      <w:r>
        <w:rPr>
          <w:rFonts w:hint="default" w:ascii="Arial" w:hAnsi="Arial" w:cs="Arial"/>
          <w:b/>
          <w:bCs/>
          <w:highlight w:val="none"/>
          <w:lang w:val="en-US" w:eastAsia="zh-CN"/>
        </w:rPr>
        <w:t>Proposal 3: RAN3 sends reply LS to SA2 and considers draft reply LS (R3-250715) as baseline.</w:t>
      </w:r>
    </w:p>
    <w:p>
      <w:pPr>
        <w:keepNext/>
        <w:keepLines/>
        <w:pBdr>
          <w:top w:val="single" w:color="auto" w:sz="12" w:space="3"/>
        </w:pBdr>
        <w:spacing w:before="240" w:after="180"/>
        <w:ind w:left="1134" w:hanging="1134"/>
        <w:outlineLvl w:val="0"/>
        <w:rPr>
          <w:rFonts w:hint="default" w:ascii="Arial" w:hAnsi="Arial" w:eastAsia="宋体" w:cs="Arial"/>
          <w:sz w:val="36"/>
          <w:highlight w:val="none"/>
          <w:lang w:val="en-US" w:eastAsia="zh-CN" w:bidi="ar-SA"/>
        </w:rPr>
      </w:pPr>
      <w:r>
        <w:rPr>
          <w:rFonts w:hint="default" w:ascii="Arial" w:hAnsi="Arial" w:cs="Arial"/>
          <w:sz w:val="36"/>
          <w:highlight w:val="none"/>
          <w:lang w:val="en-US" w:eastAsia="en-US" w:bidi="ar-SA"/>
        </w:rPr>
        <w:t xml:space="preserve">3 </w:t>
      </w:r>
      <w:r>
        <w:rPr>
          <w:rFonts w:hint="eastAsia" w:ascii="Arial" w:hAnsi="Arial" w:eastAsia="宋体" w:cs="Arial"/>
          <w:sz w:val="36"/>
          <w:highlight w:val="none"/>
          <w:lang w:val="en-US" w:eastAsia="zh-CN" w:bidi="ar-SA"/>
        </w:rPr>
        <w:t>Conclusion</w:t>
      </w:r>
    </w:p>
    <w:p>
      <w:pPr>
        <w:spacing w:after="180"/>
        <w:rPr>
          <w:rFonts w:hint="default"/>
          <w:lang w:val="en-US" w:eastAsia="zh-CN"/>
        </w:rPr>
      </w:pPr>
      <w:r>
        <w:rPr>
          <w:rFonts w:hint="eastAsia" w:ascii="Arial" w:hAnsi="Arial" w:eastAsia="Times New Roman" w:cs="Arial"/>
          <w:lang w:val="en-GB" w:eastAsia="en-US" w:bidi="ar-SA"/>
        </w:rPr>
        <w:t>Based on above analysis, we provide the following proposals.</w:t>
      </w:r>
    </w:p>
    <w:p>
      <w:pPr>
        <w:pStyle w:val="2"/>
        <w:rPr>
          <w:rFonts w:hint="default"/>
          <w:lang w:val="en-US" w:eastAsia="zh-CN"/>
        </w:rPr>
        <w:sectPr>
          <w:headerReference r:id="rId4" w:type="default"/>
          <w:footnotePr>
            <w:numRestart w:val="eachSect"/>
          </w:footnotePr>
          <w:pgSz w:w="11907" w:h="16840"/>
          <w:pgMar w:top="1417" w:right="1134" w:bottom="1134" w:left="1134" w:header="680" w:footer="567" w:gutter="0"/>
          <w:cols w:space="720" w:num="1"/>
          <w:docGrid w:linePitch="272" w:charSpace="0"/>
        </w:sectPr>
      </w:pPr>
      <w:r>
        <w:rPr>
          <w:rFonts w:hint="default" w:ascii="Arial" w:hAnsi="Arial" w:cs="Arial"/>
          <w:b/>
          <w:bCs/>
          <w:lang w:val="en-US" w:eastAsia="zh-CN"/>
        </w:rPr>
        <w:t>Proposal 1: RAN3 confirms SA2 clarification for the available data rate.</w:t>
      </w:r>
    </w:p>
    <w:p>
      <w:pPr>
        <w:pStyle w:val="2"/>
        <w:rPr>
          <w:rFonts w:hint="default" w:ascii="Arial" w:hAnsi="Arial" w:eastAsia="Times New Roman" w:cs="Arial"/>
          <w:b/>
          <w:bCs/>
          <w:lang w:val="en-US" w:eastAsia="zh-CN"/>
        </w:rPr>
      </w:pPr>
      <w:r>
        <w:rPr>
          <w:rFonts w:hint="default" w:ascii="Arial" w:hAnsi="Arial" w:cs="Arial"/>
          <w:b/>
          <w:bCs/>
          <w:lang w:val="en-US" w:eastAsia="zh-CN"/>
        </w:rPr>
        <w:t xml:space="preserve">Proposal 2:  Introduce available data rate information in UP header. Detail enhancement will be discussed when TU </w:t>
      </w:r>
      <w:r>
        <w:rPr>
          <w:rFonts w:hint="eastAsia" w:ascii="Arial" w:hAnsi="Arial" w:cs="Arial"/>
          <w:b/>
          <w:bCs/>
          <w:lang w:val="en-US" w:eastAsia="zh-CN"/>
        </w:rPr>
        <w:t xml:space="preserve">is </w:t>
      </w:r>
      <w:r>
        <w:rPr>
          <w:rFonts w:hint="default" w:ascii="Arial" w:hAnsi="Arial" w:cs="Arial"/>
          <w:b/>
          <w:bCs/>
          <w:lang w:val="en-US" w:eastAsia="zh-CN"/>
        </w:rPr>
        <w:t>available.</w:t>
      </w:r>
    </w:p>
    <w:p>
      <w:pPr>
        <w:pStyle w:val="2"/>
        <w:rPr>
          <w:rFonts w:hint="default" w:ascii="Arial" w:hAnsi="Arial" w:eastAsia="Times New Roman" w:cs="Arial"/>
          <w:b/>
          <w:bCs/>
          <w:highlight w:val="none"/>
          <w:lang w:val="en-US" w:eastAsia="zh-CN"/>
        </w:rPr>
      </w:pPr>
      <w:r>
        <w:rPr>
          <w:rFonts w:hint="default" w:ascii="Arial" w:hAnsi="Arial" w:cs="Arial"/>
          <w:b/>
          <w:bCs/>
          <w:highlight w:val="none"/>
          <w:lang w:val="en-US" w:eastAsia="zh-CN"/>
        </w:rPr>
        <w:t>Proposal 3: RAN3 sends reply LS to SA2 and considers draft reply LS (R3-250715) as baseline.</w:t>
      </w:r>
      <w:bookmarkStart w:id="4" w:name="_GoBack"/>
      <w:bookmarkEnd w:id="4"/>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Yu Gothic Medium">
    <w:panose1 w:val="020B05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5C0A2"/>
    <w:multiLevelType w:val="singleLevel"/>
    <w:tmpl w:val="B915C0A2"/>
    <w:lvl w:ilvl="0" w:tentative="0">
      <w:start w:val="1"/>
      <w:numFmt w:val="decimal"/>
      <w:lvlText w:val="%1"/>
      <w:lvlJc w:val="left"/>
    </w:lvl>
  </w:abstractNum>
  <w:abstractNum w:abstractNumId="1">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5B36"/>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277A27"/>
    <w:rsid w:val="01394D0B"/>
    <w:rsid w:val="0141766A"/>
    <w:rsid w:val="019D7936"/>
    <w:rsid w:val="021100AD"/>
    <w:rsid w:val="0228089F"/>
    <w:rsid w:val="02314CFB"/>
    <w:rsid w:val="028364EB"/>
    <w:rsid w:val="029C33C1"/>
    <w:rsid w:val="02B6410D"/>
    <w:rsid w:val="02CF4723"/>
    <w:rsid w:val="02F9671B"/>
    <w:rsid w:val="02FA31E3"/>
    <w:rsid w:val="02FD052D"/>
    <w:rsid w:val="036F71D1"/>
    <w:rsid w:val="0388586F"/>
    <w:rsid w:val="03A67F20"/>
    <w:rsid w:val="03BA6B1C"/>
    <w:rsid w:val="03D3119D"/>
    <w:rsid w:val="042A3CE5"/>
    <w:rsid w:val="046B0AFB"/>
    <w:rsid w:val="04A456AB"/>
    <w:rsid w:val="04F11071"/>
    <w:rsid w:val="05175555"/>
    <w:rsid w:val="059E10A8"/>
    <w:rsid w:val="05A34729"/>
    <w:rsid w:val="05CF47B9"/>
    <w:rsid w:val="05EE1AB8"/>
    <w:rsid w:val="05FC4D85"/>
    <w:rsid w:val="060C111B"/>
    <w:rsid w:val="0630014F"/>
    <w:rsid w:val="066F0108"/>
    <w:rsid w:val="068F53DD"/>
    <w:rsid w:val="069142A6"/>
    <w:rsid w:val="06AA2469"/>
    <w:rsid w:val="06B22052"/>
    <w:rsid w:val="06D3787D"/>
    <w:rsid w:val="06E122BA"/>
    <w:rsid w:val="06EF7DE5"/>
    <w:rsid w:val="06F51916"/>
    <w:rsid w:val="06F533E7"/>
    <w:rsid w:val="06F72A07"/>
    <w:rsid w:val="07431D6F"/>
    <w:rsid w:val="07634231"/>
    <w:rsid w:val="076705FA"/>
    <w:rsid w:val="07776026"/>
    <w:rsid w:val="077B3C6D"/>
    <w:rsid w:val="08254353"/>
    <w:rsid w:val="083C4E88"/>
    <w:rsid w:val="088C4F33"/>
    <w:rsid w:val="0898158F"/>
    <w:rsid w:val="08B83BE3"/>
    <w:rsid w:val="08C64729"/>
    <w:rsid w:val="08EF4EDA"/>
    <w:rsid w:val="09181FF8"/>
    <w:rsid w:val="09235532"/>
    <w:rsid w:val="092A2DB9"/>
    <w:rsid w:val="092F43AC"/>
    <w:rsid w:val="09697433"/>
    <w:rsid w:val="097F297B"/>
    <w:rsid w:val="09B10DC6"/>
    <w:rsid w:val="09B6237F"/>
    <w:rsid w:val="09CA0B4F"/>
    <w:rsid w:val="09F059AE"/>
    <w:rsid w:val="0A1A73D0"/>
    <w:rsid w:val="0A1C28CE"/>
    <w:rsid w:val="0A2C200C"/>
    <w:rsid w:val="0A615B38"/>
    <w:rsid w:val="0A6C072F"/>
    <w:rsid w:val="0A752A9A"/>
    <w:rsid w:val="0A7A66E0"/>
    <w:rsid w:val="0A8C25BD"/>
    <w:rsid w:val="0A907901"/>
    <w:rsid w:val="0ADD5BA9"/>
    <w:rsid w:val="0B2018F9"/>
    <w:rsid w:val="0B4A1C5E"/>
    <w:rsid w:val="0B4D40EB"/>
    <w:rsid w:val="0B512330"/>
    <w:rsid w:val="0B561A7D"/>
    <w:rsid w:val="0B7461F3"/>
    <w:rsid w:val="0B9B541A"/>
    <w:rsid w:val="0BCB178C"/>
    <w:rsid w:val="0BEE6D7B"/>
    <w:rsid w:val="0BF81269"/>
    <w:rsid w:val="0BFE43EC"/>
    <w:rsid w:val="0C115BAC"/>
    <w:rsid w:val="0C717243"/>
    <w:rsid w:val="0C800806"/>
    <w:rsid w:val="0CF47A65"/>
    <w:rsid w:val="0CFD360A"/>
    <w:rsid w:val="0D1842C3"/>
    <w:rsid w:val="0D501780"/>
    <w:rsid w:val="0D71065D"/>
    <w:rsid w:val="0DAF3492"/>
    <w:rsid w:val="0DEB256C"/>
    <w:rsid w:val="0DED616C"/>
    <w:rsid w:val="0DFE138F"/>
    <w:rsid w:val="0E2D4006"/>
    <w:rsid w:val="0E6A04AA"/>
    <w:rsid w:val="0E766064"/>
    <w:rsid w:val="0E79247A"/>
    <w:rsid w:val="0EAD5E04"/>
    <w:rsid w:val="0EF166B8"/>
    <w:rsid w:val="0EF22961"/>
    <w:rsid w:val="0F0C34F9"/>
    <w:rsid w:val="0F386AC5"/>
    <w:rsid w:val="0F5466E4"/>
    <w:rsid w:val="0F6A79C8"/>
    <w:rsid w:val="0F6B0CEB"/>
    <w:rsid w:val="0F8D4EBF"/>
    <w:rsid w:val="0F931965"/>
    <w:rsid w:val="0F9562D3"/>
    <w:rsid w:val="0FAC68F5"/>
    <w:rsid w:val="0FCC5FE0"/>
    <w:rsid w:val="0FD90AC4"/>
    <w:rsid w:val="100571B9"/>
    <w:rsid w:val="102B2F80"/>
    <w:rsid w:val="104945FD"/>
    <w:rsid w:val="105E1C61"/>
    <w:rsid w:val="1080178B"/>
    <w:rsid w:val="109D506C"/>
    <w:rsid w:val="10A165AE"/>
    <w:rsid w:val="10B47F16"/>
    <w:rsid w:val="10B76808"/>
    <w:rsid w:val="11060A51"/>
    <w:rsid w:val="116E3B98"/>
    <w:rsid w:val="117B4C45"/>
    <w:rsid w:val="11A10D24"/>
    <w:rsid w:val="11DC5602"/>
    <w:rsid w:val="121A489B"/>
    <w:rsid w:val="1229571B"/>
    <w:rsid w:val="12A47C73"/>
    <w:rsid w:val="12B66B04"/>
    <w:rsid w:val="12C46421"/>
    <w:rsid w:val="12CF1902"/>
    <w:rsid w:val="134E6454"/>
    <w:rsid w:val="138148E6"/>
    <w:rsid w:val="138F0F2E"/>
    <w:rsid w:val="13D4711F"/>
    <w:rsid w:val="140662FC"/>
    <w:rsid w:val="14102171"/>
    <w:rsid w:val="14215388"/>
    <w:rsid w:val="144C7910"/>
    <w:rsid w:val="145A5979"/>
    <w:rsid w:val="14711EAF"/>
    <w:rsid w:val="14955CB4"/>
    <w:rsid w:val="14A70187"/>
    <w:rsid w:val="14B8378C"/>
    <w:rsid w:val="15034DAF"/>
    <w:rsid w:val="15202D79"/>
    <w:rsid w:val="15472D29"/>
    <w:rsid w:val="15490E41"/>
    <w:rsid w:val="15A0496F"/>
    <w:rsid w:val="15B35820"/>
    <w:rsid w:val="15BE00E0"/>
    <w:rsid w:val="15D1270D"/>
    <w:rsid w:val="15E07071"/>
    <w:rsid w:val="15F94232"/>
    <w:rsid w:val="16160B52"/>
    <w:rsid w:val="16325924"/>
    <w:rsid w:val="165270C0"/>
    <w:rsid w:val="16BC1651"/>
    <w:rsid w:val="16BE5054"/>
    <w:rsid w:val="16CE0C48"/>
    <w:rsid w:val="16D40131"/>
    <w:rsid w:val="16D8482B"/>
    <w:rsid w:val="16FA3F9D"/>
    <w:rsid w:val="17405C8B"/>
    <w:rsid w:val="17494504"/>
    <w:rsid w:val="17496534"/>
    <w:rsid w:val="176811F5"/>
    <w:rsid w:val="177447E9"/>
    <w:rsid w:val="1792717C"/>
    <w:rsid w:val="17B6457D"/>
    <w:rsid w:val="17C07A94"/>
    <w:rsid w:val="17C73161"/>
    <w:rsid w:val="17E25D5C"/>
    <w:rsid w:val="17FD70C6"/>
    <w:rsid w:val="181F2043"/>
    <w:rsid w:val="18247AC1"/>
    <w:rsid w:val="183369F8"/>
    <w:rsid w:val="183E4C14"/>
    <w:rsid w:val="189D65B9"/>
    <w:rsid w:val="18CB0B33"/>
    <w:rsid w:val="18E71083"/>
    <w:rsid w:val="18F45785"/>
    <w:rsid w:val="192269D6"/>
    <w:rsid w:val="193E6B04"/>
    <w:rsid w:val="194D6EC4"/>
    <w:rsid w:val="19741977"/>
    <w:rsid w:val="1979104B"/>
    <w:rsid w:val="19AD5CDF"/>
    <w:rsid w:val="1A1B56D4"/>
    <w:rsid w:val="1A231E1F"/>
    <w:rsid w:val="1A381F9A"/>
    <w:rsid w:val="1A413456"/>
    <w:rsid w:val="1A4F4500"/>
    <w:rsid w:val="1A5531FE"/>
    <w:rsid w:val="1A5D234B"/>
    <w:rsid w:val="1A7664E4"/>
    <w:rsid w:val="1A7B67DF"/>
    <w:rsid w:val="1A834F17"/>
    <w:rsid w:val="1A9222A0"/>
    <w:rsid w:val="1B673547"/>
    <w:rsid w:val="1B6B6401"/>
    <w:rsid w:val="1B750D4B"/>
    <w:rsid w:val="1B784FCA"/>
    <w:rsid w:val="1B884DF4"/>
    <w:rsid w:val="1BAD41EB"/>
    <w:rsid w:val="1C4739CA"/>
    <w:rsid w:val="1C6D57E2"/>
    <w:rsid w:val="1CAC0B60"/>
    <w:rsid w:val="1CBB2C1E"/>
    <w:rsid w:val="1D2E5F12"/>
    <w:rsid w:val="1D3B435F"/>
    <w:rsid w:val="1D6060B0"/>
    <w:rsid w:val="1D812257"/>
    <w:rsid w:val="1DFA1BD1"/>
    <w:rsid w:val="1E1502AF"/>
    <w:rsid w:val="1E1C555D"/>
    <w:rsid w:val="1E3C1BFA"/>
    <w:rsid w:val="1E4266F2"/>
    <w:rsid w:val="1E691C2C"/>
    <w:rsid w:val="1E6E041A"/>
    <w:rsid w:val="1E7813BB"/>
    <w:rsid w:val="1EBC62FE"/>
    <w:rsid w:val="1EC71674"/>
    <w:rsid w:val="1EC74FC6"/>
    <w:rsid w:val="1F113A6C"/>
    <w:rsid w:val="1F2211EF"/>
    <w:rsid w:val="1F2A5881"/>
    <w:rsid w:val="1F2C51E9"/>
    <w:rsid w:val="1F4C2900"/>
    <w:rsid w:val="1F545A77"/>
    <w:rsid w:val="1F5D55DE"/>
    <w:rsid w:val="1F850DDC"/>
    <w:rsid w:val="1FF84F8B"/>
    <w:rsid w:val="2033296B"/>
    <w:rsid w:val="20400E05"/>
    <w:rsid w:val="20512D82"/>
    <w:rsid w:val="209E204F"/>
    <w:rsid w:val="20BC096E"/>
    <w:rsid w:val="20E05A7E"/>
    <w:rsid w:val="20EF2DD9"/>
    <w:rsid w:val="20F7461A"/>
    <w:rsid w:val="210B2069"/>
    <w:rsid w:val="21901FC8"/>
    <w:rsid w:val="21A82B05"/>
    <w:rsid w:val="21ED2F93"/>
    <w:rsid w:val="21F6588E"/>
    <w:rsid w:val="224C43E5"/>
    <w:rsid w:val="225032FB"/>
    <w:rsid w:val="227455E1"/>
    <w:rsid w:val="22795F46"/>
    <w:rsid w:val="22845241"/>
    <w:rsid w:val="22910AD3"/>
    <w:rsid w:val="22C65D87"/>
    <w:rsid w:val="22CB73FF"/>
    <w:rsid w:val="22EE0F97"/>
    <w:rsid w:val="22FD40EB"/>
    <w:rsid w:val="23182504"/>
    <w:rsid w:val="23505929"/>
    <w:rsid w:val="237A3415"/>
    <w:rsid w:val="23884241"/>
    <w:rsid w:val="23923038"/>
    <w:rsid w:val="23A10231"/>
    <w:rsid w:val="23A36550"/>
    <w:rsid w:val="23B81835"/>
    <w:rsid w:val="23BE5058"/>
    <w:rsid w:val="23E54FD9"/>
    <w:rsid w:val="23FC36DA"/>
    <w:rsid w:val="240F11A8"/>
    <w:rsid w:val="24125BF1"/>
    <w:rsid w:val="241624D2"/>
    <w:rsid w:val="244617E7"/>
    <w:rsid w:val="244E0BBC"/>
    <w:rsid w:val="24546AAB"/>
    <w:rsid w:val="24547FD3"/>
    <w:rsid w:val="2455691E"/>
    <w:rsid w:val="248D1ABC"/>
    <w:rsid w:val="24C1704C"/>
    <w:rsid w:val="24D015D7"/>
    <w:rsid w:val="24F72AC4"/>
    <w:rsid w:val="24F971EB"/>
    <w:rsid w:val="253E5CB9"/>
    <w:rsid w:val="253F0593"/>
    <w:rsid w:val="257A73D0"/>
    <w:rsid w:val="257C444C"/>
    <w:rsid w:val="25941CAE"/>
    <w:rsid w:val="25E71580"/>
    <w:rsid w:val="25ED790B"/>
    <w:rsid w:val="25F10D34"/>
    <w:rsid w:val="267643D1"/>
    <w:rsid w:val="26DC3830"/>
    <w:rsid w:val="270A49BB"/>
    <w:rsid w:val="2720402B"/>
    <w:rsid w:val="27327CDC"/>
    <w:rsid w:val="27E23AE5"/>
    <w:rsid w:val="280571AB"/>
    <w:rsid w:val="28451258"/>
    <w:rsid w:val="28475F8A"/>
    <w:rsid w:val="28610392"/>
    <w:rsid w:val="288C3D78"/>
    <w:rsid w:val="28976961"/>
    <w:rsid w:val="28A44284"/>
    <w:rsid w:val="28EB7CDF"/>
    <w:rsid w:val="29022D19"/>
    <w:rsid w:val="291656C5"/>
    <w:rsid w:val="293B7F79"/>
    <w:rsid w:val="29765C90"/>
    <w:rsid w:val="29AA56B0"/>
    <w:rsid w:val="29CA3F4C"/>
    <w:rsid w:val="29E067C8"/>
    <w:rsid w:val="29E4725E"/>
    <w:rsid w:val="29FF4A7F"/>
    <w:rsid w:val="2A045B6B"/>
    <w:rsid w:val="2A281435"/>
    <w:rsid w:val="2A2F571D"/>
    <w:rsid w:val="2A635C9A"/>
    <w:rsid w:val="2A763369"/>
    <w:rsid w:val="2A783838"/>
    <w:rsid w:val="2A8C12A2"/>
    <w:rsid w:val="2A971A92"/>
    <w:rsid w:val="2B175F2B"/>
    <w:rsid w:val="2B5078FF"/>
    <w:rsid w:val="2B8B34B0"/>
    <w:rsid w:val="2B923661"/>
    <w:rsid w:val="2BB80A1D"/>
    <w:rsid w:val="2BC763E4"/>
    <w:rsid w:val="2BCC7B24"/>
    <w:rsid w:val="2BD51F89"/>
    <w:rsid w:val="2BFE5CFA"/>
    <w:rsid w:val="2C0D2FFD"/>
    <w:rsid w:val="2C263FF4"/>
    <w:rsid w:val="2C47711C"/>
    <w:rsid w:val="2C523952"/>
    <w:rsid w:val="2C7637C4"/>
    <w:rsid w:val="2C9805D5"/>
    <w:rsid w:val="2CA01FA5"/>
    <w:rsid w:val="2CAA22F8"/>
    <w:rsid w:val="2CC928A8"/>
    <w:rsid w:val="2CCF3F81"/>
    <w:rsid w:val="2CD63DBE"/>
    <w:rsid w:val="2D0832EB"/>
    <w:rsid w:val="2D3A012C"/>
    <w:rsid w:val="2D835C1F"/>
    <w:rsid w:val="2D846B29"/>
    <w:rsid w:val="2D8A120B"/>
    <w:rsid w:val="2D9F3333"/>
    <w:rsid w:val="2DFF5F94"/>
    <w:rsid w:val="2E2968AD"/>
    <w:rsid w:val="2E391103"/>
    <w:rsid w:val="2E790068"/>
    <w:rsid w:val="2E7A388A"/>
    <w:rsid w:val="2E803D7D"/>
    <w:rsid w:val="2EA3699E"/>
    <w:rsid w:val="2EB23764"/>
    <w:rsid w:val="2EBD2C12"/>
    <w:rsid w:val="2EEA6EBF"/>
    <w:rsid w:val="2F26327C"/>
    <w:rsid w:val="2F5B4D38"/>
    <w:rsid w:val="2F87172B"/>
    <w:rsid w:val="2F927C8F"/>
    <w:rsid w:val="2F984D9C"/>
    <w:rsid w:val="2FB55D74"/>
    <w:rsid w:val="304A6070"/>
    <w:rsid w:val="304F7AD8"/>
    <w:rsid w:val="305D3869"/>
    <w:rsid w:val="30FE675B"/>
    <w:rsid w:val="31077786"/>
    <w:rsid w:val="31327C9D"/>
    <w:rsid w:val="315D0BEE"/>
    <w:rsid w:val="31B24D80"/>
    <w:rsid w:val="31F15FAB"/>
    <w:rsid w:val="31F73EE5"/>
    <w:rsid w:val="32000266"/>
    <w:rsid w:val="321B3256"/>
    <w:rsid w:val="3220628B"/>
    <w:rsid w:val="325A31BA"/>
    <w:rsid w:val="326A4731"/>
    <w:rsid w:val="32731315"/>
    <w:rsid w:val="327B54A6"/>
    <w:rsid w:val="32D02B8B"/>
    <w:rsid w:val="32E25DD1"/>
    <w:rsid w:val="330B4260"/>
    <w:rsid w:val="331466DE"/>
    <w:rsid w:val="3353344D"/>
    <w:rsid w:val="33A415E4"/>
    <w:rsid w:val="33A86700"/>
    <w:rsid w:val="33AC17A8"/>
    <w:rsid w:val="33E9322A"/>
    <w:rsid w:val="341F1AE0"/>
    <w:rsid w:val="349A7728"/>
    <w:rsid w:val="349D6006"/>
    <w:rsid w:val="34DF733F"/>
    <w:rsid w:val="34FA3405"/>
    <w:rsid w:val="35174E03"/>
    <w:rsid w:val="351843B0"/>
    <w:rsid w:val="35325D00"/>
    <w:rsid w:val="35446DB4"/>
    <w:rsid w:val="35A60855"/>
    <w:rsid w:val="35B54F3A"/>
    <w:rsid w:val="35EA6DD1"/>
    <w:rsid w:val="362C6D5D"/>
    <w:rsid w:val="367766C2"/>
    <w:rsid w:val="36983918"/>
    <w:rsid w:val="36AC4119"/>
    <w:rsid w:val="36F51F62"/>
    <w:rsid w:val="36FC310E"/>
    <w:rsid w:val="37113E55"/>
    <w:rsid w:val="371C5484"/>
    <w:rsid w:val="3783174C"/>
    <w:rsid w:val="37940011"/>
    <w:rsid w:val="379C7B25"/>
    <w:rsid w:val="37A10B38"/>
    <w:rsid w:val="37A6084D"/>
    <w:rsid w:val="37B21435"/>
    <w:rsid w:val="3816248E"/>
    <w:rsid w:val="381E116F"/>
    <w:rsid w:val="3855741F"/>
    <w:rsid w:val="38913644"/>
    <w:rsid w:val="38E828B3"/>
    <w:rsid w:val="395A5E54"/>
    <w:rsid w:val="395D4D14"/>
    <w:rsid w:val="395F024B"/>
    <w:rsid w:val="396B5282"/>
    <w:rsid w:val="39761080"/>
    <w:rsid w:val="398964EB"/>
    <w:rsid w:val="3994560D"/>
    <w:rsid w:val="39AD28B4"/>
    <w:rsid w:val="39CE3BB6"/>
    <w:rsid w:val="3A052C05"/>
    <w:rsid w:val="3A1F0337"/>
    <w:rsid w:val="3A2B244A"/>
    <w:rsid w:val="3A5A1A64"/>
    <w:rsid w:val="3A900026"/>
    <w:rsid w:val="3A9001D0"/>
    <w:rsid w:val="3A967AD5"/>
    <w:rsid w:val="3AC3252A"/>
    <w:rsid w:val="3B2B4629"/>
    <w:rsid w:val="3B347954"/>
    <w:rsid w:val="3B3C0CA8"/>
    <w:rsid w:val="3B3F347F"/>
    <w:rsid w:val="3B543252"/>
    <w:rsid w:val="3B5B040E"/>
    <w:rsid w:val="3B844700"/>
    <w:rsid w:val="3BAE6439"/>
    <w:rsid w:val="3C085CEE"/>
    <w:rsid w:val="3C386B92"/>
    <w:rsid w:val="3C4F0DC6"/>
    <w:rsid w:val="3C5A1BC8"/>
    <w:rsid w:val="3C5D4F0D"/>
    <w:rsid w:val="3C993636"/>
    <w:rsid w:val="3D15366B"/>
    <w:rsid w:val="3D387C61"/>
    <w:rsid w:val="3D617C14"/>
    <w:rsid w:val="3D751528"/>
    <w:rsid w:val="3D790BBA"/>
    <w:rsid w:val="3DB04B5E"/>
    <w:rsid w:val="3DB92194"/>
    <w:rsid w:val="3DFB160A"/>
    <w:rsid w:val="3E247D32"/>
    <w:rsid w:val="3E39113D"/>
    <w:rsid w:val="3E472328"/>
    <w:rsid w:val="3E7417F4"/>
    <w:rsid w:val="3E966DB0"/>
    <w:rsid w:val="3EB641B4"/>
    <w:rsid w:val="3ED372FA"/>
    <w:rsid w:val="3EE3394D"/>
    <w:rsid w:val="3EE4502D"/>
    <w:rsid w:val="3F1E41E1"/>
    <w:rsid w:val="3F5D43FD"/>
    <w:rsid w:val="3F842F4B"/>
    <w:rsid w:val="3F8E7A99"/>
    <w:rsid w:val="3FBF6B98"/>
    <w:rsid w:val="3FC2340A"/>
    <w:rsid w:val="404017A4"/>
    <w:rsid w:val="40682145"/>
    <w:rsid w:val="40755CAB"/>
    <w:rsid w:val="40837E27"/>
    <w:rsid w:val="408A035D"/>
    <w:rsid w:val="408F75BE"/>
    <w:rsid w:val="409A3A2E"/>
    <w:rsid w:val="40B7720D"/>
    <w:rsid w:val="40D51CEB"/>
    <w:rsid w:val="40F13A89"/>
    <w:rsid w:val="415400F7"/>
    <w:rsid w:val="416B347A"/>
    <w:rsid w:val="417B0F73"/>
    <w:rsid w:val="41805E5F"/>
    <w:rsid w:val="41906254"/>
    <w:rsid w:val="4192019E"/>
    <w:rsid w:val="41A87183"/>
    <w:rsid w:val="41D575F5"/>
    <w:rsid w:val="41F93578"/>
    <w:rsid w:val="427823A9"/>
    <w:rsid w:val="428D2930"/>
    <w:rsid w:val="42935FD7"/>
    <w:rsid w:val="429B6FA3"/>
    <w:rsid w:val="429C0F06"/>
    <w:rsid w:val="42AB11D3"/>
    <w:rsid w:val="435A64FD"/>
    <w:rsid w:val="436B5C9B"/>
    <w:rsid w:val="439A253E"/>
    <w:rsid w:val="44693792"/>
    <w:rsid w:val="44982499"/>
    <w:rsid w:val="44AE2A00"/>
    <w:rsid w:val="450955E1"/>
    <w:rsid w:val="45270C09"/>
    <w:rsid w:val="453543BE"/>
    <w:rsid w:val="454575C6"/>
    <w:rsid w:val="45724784"/>
    <w:rsid w:val="45977A54"/>
    <w:rsid w:val="46270B99"/>
    <w:rsid w:val="46457C1A"/>
    <w:rsid w:val="467025F4"/>
    <w:rsid w:val="468856E8"/>
    <w:rsid w:val="46DF3F0F"/>
    <w:rsid w:val="46F509C7"/>
    <w:rsid w:val="46FB499E"/>
    <w:rsid w:val="47193333"/>
    <w:rsid w:val="477B6DCC"/>
    <w:rsid w:val="47826786"/>
    <w:rsid w:val="47B14E90"/>
    <w:rsid w:val="47D53786"/>
    <w:rsid w:val="47E47337"/>
    <w:rsid w:val="482E4F9D"/>
    <w:rsid w:val="483360CD"/>
    <w:rsid w:val="48913272"/>
    <w:rsid w:val="48B27215"/>
    <w:rsid w:val="48EA45FA"/>
    <w:rsid w:val="495B7A57"/>
    <w:rsid w:val="497250F9"/>
    <w:rsid w:val="499B26D8"/>
    <w:rsid w:val="49A03C89"/>
    <w:rsid w:val="49D55FBB"/>
    <w:rsid w:val="49E2014F"/>
    <w:rsid w:val="49FD7E75"/>
    <w:rsid w:val="4A124D35"/>
    <w:rsid w:val="4A142D9F"/>
    <w:rsid w:val="4A7630F7"/>
    <w:rsid w:val="4A8E1410"/>
    <w:rsid w:val="4ABD2146"/>
    <w:rsid w:val="4AEB1C1B"/>
    <w:rsid w:val="4B055342"/>
    <w:rsid w:val="4B0B419C"/>
    <w:rsid w:val="4B2405D2"/>
    <w:rsid w:val="4B4D43F3"/>
    <w:rsid w:val="4B825093"/>
    <w:rsid w:val="4BA3301F"/>
    <w:rsid w:val="4BB7399C"/>
    <w:rsid w:val="4BC42771"/>
    <w:rsid w:val="4BC949D3"/>
    <w:rsid w:val="4BF604BA"/>
    <w:rsid w:val="4BFD1A7C"/>
    <w:rsid w:val="4C0C7DD2"/>
    <w:rsid w:val="4C1E6D2C"/>
    <w:rsid w:val="4C2A42F3"/>
    <w:rsid w:val="4C3125AB"/>
    <w:rsid w:val="4C9D3026"/>
    <w:rsid w:val="4D0E64D9"/>
    <w:rsid w:val="4D136985"/>
    <w:rsid w:val="4D240D87"/>
    <w:rsid w:val="4D404417"/>
    <w:rsid w:val="4DBA5BC6"/>
    <w:rsid w:val="4DC15874"/>
    <w:rsid w:val="4DD2543A"/>
    <w:rsid w:val="4DDB6DAF"/>
    <w:rsid w:val="4E204F82"/>
    <w:rsid w:val="4E2970C5"/>
    <w:rsid w:val="4E304E79"/>
    <w:rsid w:val="4E78473C"/>
    <w:rsid w:val="4E925663"/>
    <w:rsid w:val="4EA64748"/>
    <w:rsid w:val="4ED47B26"/>
    <w:rsid w:val="4F205FD6"/>
    <w:rsid w:val="4F262C97"/>
    <w:rsid w:val="4F357524"/>
    <w:rsid w:val="4F472CF7"/>
    <w:rsid w:val="4F69630D"/>
    <w:rsid w:val="4F8754DE"/>
    <w:rsid w:val="4FB22595"/>
    <w:rsid w:val="500F5EC0"/>
    <w:rsid w:val="502935B6"/>
    <w:rsid w:val="503166AD"/>
    <w:rsid w:val="503A22C6"/>
    <w:rsid w:val="505A6F31"/>
    <w:rsid w:val="50611713"/>
    <w:rsid w:val="508320CC"/>
    <w:rsid w:val="51045541"/>
    <w:rsid w:val="511A7A24"/>
    <w:rsid w:val="517A1016"/>
    <w:rsid w:val="517C744F"/>
    <w:rsid w:val="518E7C5F"/>
    <w:rsid w:val="518F3C7E"/>
    <w:rsid w:val="51C67ECB"/>
    <w:rsid w:val="520E4FC7"/>
    <w:rsid w:val="521B43BE"/>
    <w:rsid w:val="525F1F11"/>
    <w:rsid w:val="529A6A62"/>
    <w:rsid w:val="5305711F"/>
    <w:rsid w:val="530A46D5"/>
    <w:rsid w:val="53A76161"/>
    <w:rsid w:val="53E06AEC"/>
    <w:rsid w:val="53F1105F"/>
    <w:rsid w:val="543658E5"/>
    <w:rsid w:val="54721DB0"/>
    <w:rsid w:val="54891885"/>
    <w:rsid w:val="54C6143C"/>
    <w:rsid w:val="54C87883"/>
    <w:rsid w:val="55115E0F"/>
    <w:rsid w:val="55266162"/>
    <w:rsid w:val="557465B5"/>
    <w:rsid w:val="5594343E"/>
    <w:rsid w:val="559F35CA"/>
    <w:rsid w:val="55A540B0"/>
    <w:rsid w:val="55A64981"/>
    <w:rsid w:val="55AE6C4D"/>
    <w:rsid w:val="55AF189F"/>
    <w:rsid w:val="55F734CE"/>
    <w:rsid w:val="560D7BE6"/>
    <w:rsid w:val="56256B29"/>
    <w:rsid w:val="562B3497"/>
    <w:rsid w:val="565D2FE3"/>
    <w:rsid w:val="567D2CF6"/>
    <w:rsid w:val="569E29EB"/>
    <w:rsid w:val="56D61DB5"/>
    <w:rsid w:val="56D77BAB"/>
    <w:rsid w:val="56E86736"/>
    <w:rsid w:val="575F15BE"/>
    <w:rsid w:val="576C34AE"/>
    <w:rsid w:val="579948BD"/>
    <w:rsid w:val="580B14EE"/>
    <w:rsid w:val="58225202"/>
    <w:rsid w:val="58451DAC"/>
    <w:rsid w:val="58636F75"/>
    <w:rsid w:val="587B1856"/>
    <w:rsid w:val="58807E3B"/>
    <w:rsid w:val="589F18A7"/>
    <w:rsid w:val="58C314E4"/>
    <w:rsid w:val="58D65D0D"/>
    <w:rsid w:val="58F619F3"/>
    <w:rsid w:val="591E232D"/>
    <w:rsid w:val="593C0869"/>
    <w:rsid w:val="594006C5"/>
    <w:rsid w:val="595021A5"/>
    <w:rsid w:val="596A6E1E"/>
    <w:rsid w:val="59815664"/>
    <w:rsid w:val="5984580C"/>
    <w:rsid w:val="59864DB4"/>
    <w:rsid w:val="598820C5"/>
    <w:rsid w:val="59A045E4"/>
    <w:rsid w:val="59E15FC5"/>
    <w:rsid w:val="5A0E42E7"/>
    <w:rsid w:val="5A252D18"/>
    <w:rsid w:val="5A49240E"/>
    <w:rsid w:val="5A5716EA"/>
    <w:rsid w:val="5AFF6B8E"/>
    <w:rsid w:val="5B223A34"/>
    <w:rsid w:val="5B563943"/>
    <w:rsid w:val="5B5B6B69"/>
    <w:rsid w:val="5B7D1262"/>
    <w:rsid w:val="5BF535C2"/>
    <w:rsid w:val="5C0D53BD"/>
    <w:rsid w:val="5C4A7911"/>
    <w:rsid w:val="5C605EE4"/>
    <w:rsid w:val="5CCB33AC"/>
    <w:rsid w:val="5CE05DFB"/>
    <w:rsid w:val="5CF122C1"/>
    <w:rsid w:val="5D280673"/>
    <w:rsid w:val="5D4361CD"/>
    <w:rsid w:val="5DA9612F"/>
    <w:rsid w:val="5DF46426"/>
    <w:rsid w:val="5E274D0C"/>
    <w:rsid w:val="5E3945EA"/>
    <w:rsid w:val="5E867E2D"/>
    <w:rsid w:val="5E8D0B8C"/>
    <w:rsid w:val="5E912F6A"/>
    <w:rsid w:val="5EAE395D"/>
    <w:rsid w:val="5EB8438C"/>
    <w:rsid w:val="5EC67984"/>
    <w:rsid w:val="5ECB02F1"/>
    <w:rsid w:val="5F472BFF"/>
    <w:rsid w:val="5F696EAE"/>
    <w:rsid w:val="5F7A4B17"/>
    <w:rsid w:val="5F7F671E"/>
    <w:rsid w:val="5F8B54DA"/>
    <w:rsid w:val="5FBA6DA5"/>
    <w:rsid w:val="5FDA699E"/>
    <w:rsid w:val="5FDB2024"/>
    <w:rsid w:val="60225673"/>
    <w:rsid w:val="6075682E"/>
    <w:rsid w:val="60876D5B"/>
    <w:rsid w:val="60C917B8"/>
    <w:rsid w:val="60D12ECB"/>
    <w:rsid w:val="60F94EAD"/>
    <w:rsid w:val="61364871"/>
    <w:rsid w:val="6153773D"/>
    <w:rsid w:val="616A4B9B"/>
    <w:rsid w:val="617A0421"/>
    <w:rsid w:val="61B44A52"/>
    <w:rsid w:val="61BE02FD"/>
    <w:rsid w:val="61C31798"/>
    <w:rsid w:val="61D31FEA"/>
    <w:rsid w:val="61E33112"/>
    <w:rsid w:val="61F04F42"/>
    <w:rsid w:val="62241120"/>
    <w:rsid w:val="62397CEA"/>
    <w:rsid w:val="626649CD"/>
    <w:rsid w:val="626A76C8"/>
    <w:rsid w:val="628A778E"/>
    <w:rsid w:val="62942216"/>
    <w:rsid w:val="62D12D9B"/>
    <w:rsid w:val="63127275"/>
    <w:rsid w:val="63174A5E"/>
    <w:rsid w:val="63407A23"/>
    <w:rsid w:val="63460424"/>
    <w:rsid w:val="635105BF"/>
    <w:rsid w:val="639049F5"/>
    <w:rsid w:val="63A92701"/>
    <w:rsid w:val="63FF7559"/>
    <w:rsid w:val="641E3FFD"/>
    <w:rsid w:val="64392E16"/>
    <w:rsid w:val="64521E3B"/>
    <w:rsid w:val="648F446C"/>
    <w:rsid w:val="64A25D5B"/>
    <w:rsid w:val="64CF3B05"/>
    <w:rsid w:val="64D32AB2"/>
    <w:rsid w:val="64DB240C"/>
    <w:rsid w:val="65053CCD"/>
    <w:rsid w:val="65080465"/>
    <w:rsid w:val="651E09D4"/>
    <w:rsid w:val="65271249"/>
    <w:rsid w:val="654479E9"/>
    <w:rsid w:val="65470716"/>
    <w:rsid w:val="65614A1F"/>
    <w:rsid w:val="65871A77"/>
    <w:rsid w:val="65A328B3"/>
    <w:rsid w:val="65C11D34"/>
    <w:rsid w:val="66090758"/>
    <w:rsid w:val="66316283"/>
    <w:rsid w:val="663B5043"/>
    <w:rsid w:val="66784226"/>
    <w:rsid w:val="66943F02"/>
    <w:rsid w:val="66B402E4"/>
    <w:rsid w:val="66CD31E4"/>
    <w:rsid w:val="66DC24AB"/>
    <w:rsid w:val="67385175"/>
    <w:rsid w:val="67450C74"/>
    <w:rsid w:val="679219A0"/>
    <w:rsid w:val="679B3586"/>
    <w:rsid w:val="67AC25C4"/>
    <w:rsid w:val="67AC691D"/>
    <w:rsid w:val="67F0785E"/>
    <w:rsid w:val="68043779"/>
    <w:rsid w:val="6830371F"/>
    <w:rsid w:val="68474B84"/>
    <w:rsid w:val="68497287"/>
    <w:rsid w:val="685C34BB"/>
    <w:rsid w:val="691F730B"/>
    <w:rsid w:val="694E7294"/>
    <w:rsid w:val="69531CB9"/>
    <w:rsid w:val="6991660F"/>
    <w:rsid w:val="69945311"/>
    <w:rsid w:val="69B269A8"/>
    <w:rsid w:val="69E028AB"/>
    <w:rsid w:val="69E320A0"/>
    <w:rsid w:val="6A272FBE"/>
    <w:rsid w:val="6A686DE9"/>
    <w:rsid w:val="6A6E55E7"/>
    <w:rsid w:val="6A7A3626"/>
    <w:rsid w:val="6A92458E"/>
    <w:rsid w:val="6AA377BD"/>
    <w:rsid w:val="6AE96C78"/>
    <w:rsid w:val="6AEA233B"/>
    <w:rsid w:val="6B0C41A2"/>
    <w:rsid w:val="6B336F59"/>
    <w:rsid w:val="6B4A585A"/>
    <w:rsid w:val="6B8C402E"/>
    <w:rsid w:val="6BE02EF1"/>
    <w:rsid w:val="6BF6132E"/>
    <w:rsid w:val="6C2F40EB"/>
    <w:rsid w:val="6C666F22"/>
    <w:rsid w:val="6C8E055F"/>
    <w:rsid w:val="6CB927E4"/>
    <w:rsid w:val="6CF8210C"/>
    <w:rsid w:val="6CF94DB9"/>
    <w:rsid w:val="6D53298B"/>
    <w:rsid w:val="6D6126BB"/>
    <w:rsid w:val="6D636818"/>
    <w:rsid w:val="6DA75965"/>
    <w:rsid w:val="6DB41DB0"/>
    <w:rsid w:val="6DD94B71"/>
    <w:rsid w:val="6DED6DC4"/>
    <w:rsid w:val="6E131F91"/>
    <w:rsid w:val="6E283292"/>
    <w:rsid w:val="6E3524C7"/>
    <w:rsid w:val="6E39419B"/>
    <w:rsid w:val="6E4168A6"/>
    <w:rsid w:val="6E5969FE"/>
    <w:rsid w:val="6E7D3EF3"/>
    <w:rsid w:val="6E84361E"/>
    <w:rsid w:val="6ECE7C98"/>
    <w:rsid w:val="6ED54E37"/>
    <w:rsid w:val="6EEA5749"/>
    <w:rsid w:val="6F0B72C1"/>
    <w:rsid w:val="6F157F2D"/>
    <w:rsid w:val="6F3E4242"/>
    <w:rsid w:val="6F6170E9"/>
    <w:rsid w:val="6F637F9F"/>
    <w:rsid w:val="6F7629AB"/>
    <w:rsid w:val="6F873731"/>
    <w:rsid w:val="6FA4634D"/>
    <w:rsid w:val="6FBE4987"/>
    <w:rsid w:val="6FF83F66"/>
    <w:rsid w:val="703E0488"/>
    <w:rsid w:val="705536D5"/>
    <w:rsid w:val="70A95BD2"/>
    <w:rsid w:val="70BA5E3D"/>
    <w:rsid w:val="70D2084F"/>
    <w:rsid w:val="710E3FA7"/>
    <w:rsid w:val="711A6178"/>
    <w:rsid w:val="71503DFC"/>
    <w:rsid w:val="71632467"/>
    <w:rsid w:val="719231D5"/>
    <w:rsid w:val="71E71D13"/>
    <w:rsid w:val="71EB7BE2"/>
    <w:rsid w:val="72284CD3"/>
    <w:rsid w:val="724E0253"/>
    <w:rsid w:val="726B7108"/>
    <w:rsid w:val="72890388"/>
    <w:rsid w:val="728A2A59"/>
    <w:rsid w:val="728B420C"/>
    <w:rsid w:val="72992B6A"/>
    <w:rsid w:val="72A714BD"/>
    <w:rsid w:val="72DC17B3"/>
    <w:rsid w:val="731F77AF"/>
    <w:rsid w:val="73236E8C"/>
    <w:rsid w:val="73B133AA"/>
    <w:rsid w:val="73B77B23"/>
    <w:rsid w:val="73F353B5"/>
    <w:rsid w:val="740E76E4"/>
    <w:rsid w:val="74695CF8"/>
    <w:rsid w:val="748313C4"/>
    <w:rsid w:val="74B51540"/>
    <w:rsid w:val="74FA12A9"/>
    <w:rsid w:val="75172C91"/>
    <w:rsid w:val="756627EE"/>
    <w:rsid w:val="7571766F"/>
    <w:rsid w:val="7598621A"/>
    <w:rsid w:val="75AC38CD"/>
    <w:rsid w:val="75BC0916"/>
    <w:rsid w:val="760E13A2"/>
    <w:rsid w:val="76181F74"/>
    <w:rsid w:val="761E60E3"/>
    <w:rsid w:val="762A1504"/>
    <w:rsid w:val="76812555"/>
    <w:rsid w:val="76824C7D"/>
    <w:rsid w:val="7691508A"/>
    <w:rsid w:val="76B438D2"/>
    <w:rsid w:val="76C01561"/>
    <w:rsid w:val="76C367C8"/>
    <w:rsid w:val="76D92814"/>
    <w:rsid w:val="76DA4311"/>
    <w:rsid w:val="76DB54E1"/>
    <w:rsid w:val="771D1FCA"/>
    <w:rsid w:val="77452250"/>
    <w:rsid w:val="77531F5A"/>
    <w:rsid w:val="778C1E00"/>
    <w:rsid w:val="77CE29EE"/>
    <w:rsid w:val="77CE6088"/>
    <w:rsid w:val="77D354B0"/>
    <w:rsid w:val="77D5208C"/>
    <w:rsid w:val="77D52F2D"/>
    <w:rsid w:val="77F15376"/>
    <w:rsid w:val="783F5543"/>
    <w:rsid w:val="789A6AAA"/>
    <w:rsid w:val="789B4BCC"/>
    <w:rsid w:val="78A06036"/>
    <w:rsid w:val="78C13EE6"/>
    <w:rsid w:val="79263039"/>
    <w:rsid w:val="79285C76"/>
    <w:rsid w:val="794F4AA1"/>
    <w:rsid w:val="79863A93"/>
    <w:rsid w:val="798E7332"/>
    <w:rsid w:val="79935FFE"/>
    <w:rsid w:val="799C0C78"/>
    <w:rsid w:val="7A29013F"/>
    <w:rsid w:val="7A391DC0"/>
    <w:rsid w:val="7A412CD0"/>
    <w:rsid w:val="7A6A2562"/>
    <w:rsid w:val="7AD92143"/>
    <w:rsid w:val="7AEB02EB"/>
    <w:rsid w:val="7AFC7028"/>
    <w:rsid w:val="7B0849EC"/>
    <w:rsid w:val="7B0C0B35"/>
    <w:rsid w:val="7B274987"/>
    <w:rsid w:val="7B4F2BA0"/>
    <w:rsid w:val="7B6F65ED"/>
    <w:rsid w:val="7BBD069C"/>
    <w:rsid w:val="7BD62ABE"/>
    <w:rsid w:val="7BE213B2"/>
    <w:rsid w:val="7BF9265A"/>
    <w:rsid w:val="7BFE3F56"/>
    <w:rsid w:val="7C573D6C"/>
    <w:rsid w:val="7C8617C6"/>
    <w:rsid w:val="7CE565DD"/>
    <w:rsid w:val="7CF84001"/>
    <w:rsid w:val="7D0263D7"/>
    <w:rsid w:val="7D423B1E"/>
    <w:rsid w:val="7D712053"/>
    <w:rsid w:val="7D766D27"/>
    <w:rsid w:val="7D7C1EF8"/>
    <w:rsid w:val="7DC35EA0"/>
    <w:rsid w:val="7DC90818"/>
    <w:rsid w:val="7E054230"/>
    <w:rsid w:val="7E0878D8"/>
    <w:rsid w:val="7E3C5EF8"/>
    <w:rsid w:val="7E481BF4"/>
    <w:rsid w:val="7E5342BF"/>
    <w:rsid w:val="7E5C041E"/>
    <w:rsid w:val="7E5D274F"/>
    <w:rsid w:val="7E72695D"/>
    <w:rsid w:val="7EE212CA"/>
    <w:rsid w:val="7EF95CC5"/>
    <w:rsid w:val="7F1C4CBA"/>
    <w:rsid w:val="7F214B49"/>
    <w:rsid w:val="7F2257CA"/>
    <w:rsid w:val="7F2555A3"/>
    <w:rsid w:val="7F502099"/>
    <w:rsid w:val="7F5302FE"/>
    <w:rsid w:val="7F5458FC"/>
    <w:rsid w:val="7F57469D"/>
    <w:rsid w:val="7F7C4F74"/>
    <w:rsid w:val="7F8440F5"/>
    <w:rsid w:val="7FAD58CC"/>
    <w:rsid w:val="7FC24250"/>
    <w:rsid w:val="7FDD48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0"/>
    <w:pPr>
      <w:spacing w:before="152"/>
    </w:pPr>
    <w:rPr>
      <w:rFonts w:eastAsia="黑体" w:cs="Arial"/>
      <w:sz w:val="20"/>
      <w:szCs w:val="20"/>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13"/>
    <w:qFormat/>
    <w:uiPriority w:val="0"/>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2"/>
    <w:qFormat/>
    <w:uiPriority w:val="0"/>
    <w:rPr>
      <w:rFonts w:ascii="Tahoma" w:hAnsi="Tahoma" w:cs="Tahoma"/>
      <w:sz w:val="16"/>
      <w:szCs w:val="16"/>
    </w:rPr>
  </w:style>
  <w:style w:type="paragraph" w:styleId="35">
    <w:name w:val="footer"/>
    <w:basedOn w:val="36"/>
    <w:link w:val="98"/>
    <w:qFormat/>
    <w:uiPriority w:val="0"/>
    <w:pPr>
      <w:jc w:val="center"/>
    </w:pPr>
    <w:rPr>
      <w:i/>
    </w:rPr>
  </w:style>
  <w:style w:type="paragraph" w:styleId="36">
    <w:name w:val="header"/>
    <w:basedOn w:val="1"/>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1"/>
    <w:next w:val="31"/>
    <w:link w:val="114"/>
    <w:qFormat/>
    <w:uiPriority w:val="0"/>
    <w:rPr>
      <w:b/>
      <w:bCs/>
    </w:rPr>
  </w:style>
  <w:style w:type="table" w:styleId="46">
    <w:name w:val="Table Grid"/>
    <w:basedOn w:val="45"/>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4"/>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6"/>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5"/>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7"/>
    <w:qFormat/>
    <w:uiPriority w:val="0"/>
    <w:rPr>
      <w:rFonts w:ascii="Times New Roman" w:hAnsi="Times New Roman"/>
      <w:sz w:val="16"/>
      <w:lang w:val="en-GB"/>
    </w:rPr>
  </w:style>
  <w:style w:type="character" w:customStyle="1" w:styleId="113">
    <w:name w:val="批注文字 字符"/>
    <w:link w:val="31"/>
    <w:qFormat/>
    <w:uiPriority w:val="0"/>
    <w:rPr>
      <w:rFonts w:ascii="Times New Roman" w:hAnsi="Times New Roman"/>
      <w:lang w:val="en-GB"/>
    </w:rPr>
  </w:style>
  <w:style w:type="character" w:customStyle="1" w:styleId="114">
    <w:name w:val="批注主题 字符"/>
    <w:link w:val="44"/>
    <w:qFormat/>
    <w:uiPriority w:val="0"/>
    <w:rPr>
      <w:rFonts w:ascii="Times New Roman" w:hAnsi="Times New Roman"/>
      <w:b/>
      <w:bCs/>
      <w:lang w:val="en-GB"/>
    </w:rPr>
  </w:style>
  <w:style w:type="character" w:customStyle="1" w:styleId="115">
    <w:name w:val="文档结构图 字符"/>
    <w:link w:val="30"/>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7"/>
    <w:semiHidden/>
    <w:unhideWhenUsed/>
    <w:qFormat/>
    <w:uiPriority w:val="99"/>
    <w:rPr>
      <w:color w:val="605E5C"/>
      <w:shd w:val="clear" w:color="auto" w:fill="E1DFDD"/>
    </w:rPr>
  </w:style>
  <w:style w:type="paragraph" w:customStyle="1" w:styleId="119">
    <w:name w:val="3gpp title (city + tdoc number)"/>
    <w:basedOn w:val="36"/>
    <w:qFormat/>
    <w:uiPriority w:val="0"/>
    <w:pPr>
      <w:tabs>
        <w:tab w:val="right" w:pos="9923"/>
      </w:tabs>
      <w:ind w:right="-7"/>
    </w:pPr>
    <w:rPr>
      <w:rFonts w:cs="Arial"/>
      <w:bCs/>
      <w:sz w:val="24"/>
    </w:rPr>
  </w:style>
  <w:style w:type="paragraph" w:customStyle="1" w:styleId="120">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styleId="121">
    <w:name w:val="List Paragraph"/>
    <w:basedOn w:val="1"/>
    <w:qFormat/>
    <w:uiPriority w:val="34"/>
    <w:pPr>
      <w:autoSpaceDE/>
      <w:autoSpaceDN/>
      <w:adjustRightInd/>
      <w:snapToGrid/>
      <w:spacing w:after="0"/>
      <w:ind w:left="720"/>
      <w:contextualSpacing/>
      <w:jc w:val="left"/>
    </w:pPr>
    <w:rPr>
      <w:sz w:val="20"/>
      <w:szCs w:val="20"/>
      <w:lang w:val="en-GB"/>
    </w:rPr>
  </w:style>
  <w:style w:type="character" w:customStyle="1" w:styleId="122">
    <w:name w:val="ui-provider"/>
    <w:basedOn w:val="47"/>
    <w:qFormat/>
    <w:uiPriority w:val="0"/>
  </w:style>
  <w:style w:type="paragraph" w:customStyle="1" w:styleId="123">
    <w:name w:val="LSHeader"/>
    <w:qFormat/>
    <w:uiPriority w:val="0"/>
    <w:pPr>
      <w:tabs>
        <w:tab w:val="right" w:pos="9781"/>
      </w:tabs>
    </w:pPr>
    <w:rPr>
      <w:rFonts w:ascii="Arial" w:hAnsi="Arial" w:eastAsia="宋体" w:cs="Times New Roman"/>
      <w:b/>
      <w:sz w:val="24"/>
      <w:lang w:val="en-GB" w:eastAsia="ko-K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2025-02-07T06:16:13Z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3DEBD3BA867F414D85DBF611D8F782A2</vt:lpwstr>
  </property>
</Properties>
</file>